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b/>
          <w:bCs/>
          <w:kern w:val="0"/>
          <w:sz w:val="36"/>
          <w:szCs w:val="36"/>
        </w:rPr>
      </w:pPr>
      <w:r>
        <w:rPr>
          <w:rFonts w:hint="eastAsia" w:ascii="方正小标宋_GBK" w:hAnsi="宋体" w:eastAsia="方正小标宋_GBK"/>
          <w:kern w:val="0"/>
          <w:sz w:val="36"/>
          <w:szCs w:val="36"/>
        </w:rPr>
        <w:t xml:space="preserve"> 评审办法（综合评估法）</w:t>
      </w:r>
    </w:p>
    <w:p>
      <w:pPr>
        <w:ind w:firstLine="744" w:firstLineChars="248"/>
        <w:rPr>
          <w:rFonts w:hint="eastAsia" w:ascii="黑体" w:hAnsi="黑体" w:eastAsia="黑体" w:cs="黑体"/>
          <w:kern w:val="0"/>
          <w:sz w:val="30"/>
          <w:szCs w:val="30"/>
        </w:rPr>
      </w:pPr>
      <w:r>
        <w:rPr>
          <w:rFonts w:hint="eastAsia" w:ascii="黑体" w:hAnsi="黑体" w:eastAsia="黑体" w:cs="黑体"/>
          <w:kern w:val="0"/>
          <w:sz w:val="30"/>
          <w:szCs w:val="30"/>
        </w:rPr>
        <w:t>一、资格审查</w:t>
      </w:r>
    </w:p>
    <w:p>
      <w:pPr>
        <w:ind w:right="-1"/>
        <w:jc w:val="left"/>
        <w:rPr>
          <w:rFonts w:hint="eastAsia" w:eastAsia="仿宋_GB2312"/>
          <w:kern w:val="0"/>
          <w:sz w:val="30"/>
          <w:szCs w:val="30"/>
        </w:rPr>
      </w:pPr>
      <w:r>
        <w:rPr>
          <w:rFonts w:hint="eastAsia" w:ascii="楷体" w:hAnsi="楷体" w:eastAsia="楷体" w:cs="楷体"/>
          <w:kern w:val="0"/>
          <w:sz w:val="30"/>
          <w:szCs w:val="30"/>
        </w:rPr>
        <w:t xml:space="preserve">    </w:t>
      </w:r>
      <w:r>
        <w:rPr>
          <w:rFonts w:hint="eastAsia" w:eastAsia="仿宋_GB2312"/>
          <w:kern w:val="0"/>
          <w:sz w:val="30"/>
          <w:szCs w:val="30"/>
        </w:rPr>
        <w:t>对投标单位资格性进行审查，结论分为“合格”与“不合格”，评审不合格的投标文件不再进行后续评审。</w:t>
      </w:r>
    </w:p>
    <w:p>
      <w:pPr>
        <w:ind w:firstLine="597" w:firstLineChars="199"/>
        <w:rPr>
          <w:rFonts w:eastAsia="仿宋_GB2312"/>
          <w:kern w:val="0"/>
          <w:sz w:val="30"/>
          <w:szCs w:val="30"/>
        </w:rPr>
      </w:pPr>
      <w:r>
        <w:rPr>
          <w:rFonts w:hint="eastAsia" w:eastAsia="仿宋_GB2312"/>
          <w:kern w:val="0"/>
          <w:sz w:val="30"/>
          <w:szCs w:val="30"/>
        </w:rPr>
        <w:t>有下列情形之一的，应做无效投标处理：</w:t>
      </w:r>
    </w:p>
    <w:tbl>
      <w:tblPr>
        <w:tblStyle w:val="2"/>
        <w:tblW w:w="9072" w:type="dxa"/>
        <w:tblInd w:w="28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17"/>
        <w:gridCol w:w="3261"/>
        <w:gridCol w:w="439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5" w:hRule="atLeast"/>
        </w:trPr>
        <w:tc>
          <w:tcPr>
            <w:tcW w:w="4678"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评审内容</w:t>
            </w:r>
          </w:p>
        </w:tc>
        <w:tc>
          <w:tcPr>
            <w:tcW w:w="4394"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1632" w:hRule="atLeast"/>
        </w:trPr>
        <w:tc>
          <w:tcPr>
            <w:tcW w:w="1417" w:type="dxa"/>
            <w:vMerge w:val="restart"/>
            <w:tcBorders>
              <w:top w:val="outset" w:color="auto" w:sz="6" w:space="0"/>
              <w:left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资格性</w:t>
            </w:r>
          </w:p>
          <w:p>
            <w:pPr>
              <w:jc w:val="center"/>
              <w:rPr>
                <w:rFonts w:eastAsia="仿宋_GB2312"/>
                <w:kern w:val="0"/>
                <w:sz w:val="30"/>
                <w:szCs w:val="30"/>
              </w:rPr>
            </w:pPr>
            <w:r>
              <w:rPr>
                <w:rFonts w:hint="eastAsia" w:eastAsia="仿宋_GB2312"/>
                <w:kern w:val="0"/>
                <w:sz w:val="30"/>
                <w:szCs w:val="30"/>
              </w:rPr>
              <w:t>审查</w:t>
            </w:r>
          </w:p>
        </w:tc>
        <w:tc>
          <w:tcPr>
            <w:tcW w:w="3261"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营业执照</w:t>
            </w:r>
          </w:p>
        </w:tc>
        <w:tc>
          <w:tcPr>
            <w:tcW w:w="4394"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营业执照是否合法有效</w:t>
            </w:r>
            <w:r>
              <w:rPr>
                <w:rFonts w:eastAsia="仿宋_GB2312"/>
                <w:kern w:val="0"/>
                <w:sz w:val="30"/>
                <w:szCs w:val="30"/>
              </w:rPr>
              <w:tab/>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14" w:hRule="atLeast"/>
        </w:trPr>
        <w:tc>
          <w:tcPr>
            <w:tcW w:w="1417" w:type="dxa"/>
            <w:vMerge w:val="continue"/>
            <w:tcBorders>
              <w:left w:val="outset" w:color="auto" w:sz="6" w:space="0"/>
              <w:bottom w:val="outset" w:color="auto" w:sz="12" w:space="0"/>
              <w:right w:val="outset" w:color="auto" w:sz="6" w:space="0"/>
            </w:tcBorders>
            <w:noWrap w:val="0"/>
            <w:vAlign w:val="center"/>
          </w:tcPr>
          <w:p>
            <w:pPr>
              <w:jc w:val="left"/>
              <w:rPr>
                <w:rFonts w:eastAsia="仿宋_GB2312"/>
                <w:kern w:val="0"/>
                <w:sz w:val="30"/>
                <w:szCs w:val="30"/>
              </w:rPr>
            </w:pPr>
          </w:p>
        </w:tc>
        <w:tc>
          <w:tcPr>
            <w:tcW w:w="3261"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征信查询</w:t>
            </w:r>
          </w:p>
        </w:tc>
        <w:tc>
          <w:tcPr>
            <w:tcW w:w="4394" w:type="dxa"/>
            <w:tcBorders>
              <w:top w:val="outset" w:color="auto" w:sz="6" w:space="0"/>
              <w:left w:val="outset" w:color="auto" w:sz="6" w:space="0"/>
              <w:bottom w:val="outset" w:color="auto" w:sz="6" w:space="0"/>
              <w:right w:val="outset" w:color="auto" w:sz="6" w:space="0"/>
            </w:tcBorders>
            <w:noWrap w:val="0"/>
            <w:vAlign w:val="center"/>
          </w:tcPr>
          <w:p>
            <w:pPr>
              <w:tabs>
                <w:tab w:val="center" w:pos="2378"/>
              </w:tabs>
              <w:jc w:val="center"/>
              <w:rPr>
                <w:rFonts w:eastAsia="仿宋_GB2312"/>
                <w:kern w:val="0"/>
                <w:sz w:val="30"/>
                <w:szCs w:val="30"/>
              </w:rPr>
            </w:pPr>
            <w:r>
              <w:rPr>
                <w:rFonts w:hint="eastAsia" w:eastAsia="仿宋_GB2312"/>
                <w:kern w:val="0"/>
                <w:sz w:val="30"/>
                <w:szCs w:val="30"/>
              </w:rPr>
              <w:t>信用查询有无不良记录</w:t>
            </w:r>
          </w:p>
        </w:tc>
      </w:tr>
    </w:tbl>
    <w:p>
      <w:pPr>
        <w:ind w:left="3372"/>
        <w:rPr>
          <w:rFonts w:hint="eastAsia" w:ascii="黑体" w:hAnsi="黑体" w:eastAsia="黑体" w:cs="黑体"/>
          <w:kern w:val="0"/>
          <w:sz w:val="30"/>
          <w:szCs w:val="30"/>
        </w:rPr>
      </w:pPr>
    </w:p>
    <w:p>
      <w:pPr>
        <w:numPr>
          <w:ilvl w:val="0"/>
          <w:numId w:val="1"/>
        </w:numPr>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rPr>
        <w:t>技术和商务标评审</w:t>
      </w:r>
    </w:p>
    <w:p>
      <w:pPr>
        <w:wordWrap w:val="0"/>
        <w:jc w:val="right"/>
        <w:rPr>
          <w:rFonts w:eastAsia="仿宋_GB2312"/>
          <w:kern w:val="0"/>
          <w:sz w:val="18"/>
          <w:szCs w:val="18"/>
        </w:rPr>
      </w:pPr>
    </w:p>
    <w:tbl>
      <w:tblPr>
        <w:tblStyle w:val="2"/>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453"/>
        <w:gridCol w:w="630"/>
        <w:gridCol w:w="37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07"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序号</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内容</w:t>
            </w:r>
          </w:p>
        </w:tc>
        <w:tc>
          <w:tcPr>
            <w:tcW w:w="630"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分值</w:t>
            </w:r>
          </w:p>
        </w:tc>
        <w:tc>
          <w:tcPr>
            <w:tcW w:w="3780"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评分标准</w:t>
            </w:r>
          </w:p>
        </w:tc>
        <w:tc>
          <w:tcPr>
            <w:tcW w:w="1785"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1</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电梯维保方案</w:t>
            </w:r>
          </w:p>
        </w:tc>
        <w:tc>
          <w:tcPr>
            <w:tcW w:w="630" w:type="dxa"/>
            <w:noWrap w:val="0"/>
            <w:vAlign w:val="center"/>
          </w:tcPr>
          <w:p>
            <w:pPr>
              <w:jc w:val="center"/>
              <w:rPr>
                <w:rFonts w:hint="eastAsia" w:ascii="仿宋_GB2312" w:hAnsi="宋体" w:eastAsia="仿宋_GB2312"/>
                <w:color w:val="000000"/>
                <w:w w:val="90"/>
                <w:sz w:val="30"/>
                <w:szCs w:val="30"/>
              </w:rPr>
            </w:pP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0</w:t>
            </w:r>
          </w:p>
        </w:tc>
        <w:tc>
          <w:tcPr>
            <w:tcW w:w="3780"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维保方案科学详细、切实可行、操作安全规范得6</w:t>
            </w: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0分，维保方案、操作规范较简单得</w:t>
            </w: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5分，未提供维保方案不得分。</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2</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维保案例</w:t>
            </w:r>
          </w:p>
        </w:tc>
        <w:tc>
          <w:tcPr>
            <w:tcW w:w="630" w:type="dxa"/>
            <w:noWrap w:val="0"/>
            <w:vAlign w:val="center"/>
          </w:tcPr>
          <w:p>
            <w:pPr>
              <w:jc w:val="center"/>
              <w:rPr>
                <w:rFonts w:hint="eastAsia" w:ascii="仿宋_GB2312" w:hAnsi="宋体" w:eastAsia="仿宋_GB2312"/>
                <w:color w:val="000000"/>
                <w:w w:val="90"/>
                <w:sz w:val="30"/>
                <w:szCs w:val="30"/>
              </w:rPr>
            </w:pP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5</w:t>
            </w:r>
          </w:p>
        </w:tc>
        <w:tc>
          <w:tcPr>
            <w:tcW w:w="3780" w:type="dxa"/>
            <w:noWrap w:val="0"/>
            <w:vAlign w:val="center"/>
          </w:tcPr>
          <w:p>
            <w:pPr>
              <w:ind w:left="-2" w:leftChars="-1" w:firstLine="2" w:firstLineChars="1"/>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公告发布之日起上推3年内为准，提供类似厂房、办公楼电梯的维护保养服务案例复印件或扫描件应能辨识双方合同公章、签订时间、金额，并加盖投标人公章；如服务案例合同不能体现以上全部内容，可提供服务案例合同甲方加盖公章的证明复印件或扫描件，若每个投标人电梯维保服务案例复印件或扫描件不能辨识双方合同公章、签订时间、金额、忘加盖投标人公章、未提供投标人电梯维保服务案例合同甲方加盖公章的证明复印件或扫描件每一项对应扣减1分，最多扣减不超过5分；每个维保案例5分，总计得分最多不超过15分。</w:t>
            </w:r>
          </w:p>
        </w:tc>
        <w:tc>
          <w:tcPr>
            <w:tcW w:w="1785" w:type="dxa"/>
            <w:noWrap w:val="0"/>
            <w:vAlign w:val="center"/>
          </w:tcPr>
          <w:p>
            <w:pPr>
              <w:jc w:val="center"/>
              <w:rPr>
                <w:rFonts w:ascii="仿宋_GB2312" w:hAnsi="宋体" w:eastAsia="仿宋_GB2312"/>
                <w:color w:val="000000"/>
                <w:w w:val="90"/>
                <w:sz w:val="30"/>
                <w:szCs w:val="30"/>
              </w:rPr>
            </w:pPr>
          </w:p>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3</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应急处理服务承诺</w:t>
            </w:r>
          </w:p>
        </w:tc>
        <w:tc>
          <w:tcPr>
            <w:tcW w:w="630"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5</w:t>
            </w:r>
          </w:p>
        </w:tc>
        <w:tc>
          <w:tcPr>
            <w:tcW w:w="3780" w:type="dxa"/>
            <w:noWrap w:val="0"/>
            <w:vAlign w:val="center"/>
          </w:tcPr>
          <w:p>
            <w:pPr>
              <w:ind w:left="-2" w:leftChars="-1" w:firstLine="2" w:firstLineChars="1"/>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提供应急处理响应时间服务承诺，遇到电梯故障及时（2小时内）赶到现场实施抢修得5分，应急救援时间过长或未提供应急救援服务承诺函不得分。</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4</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维保人员</w:t>
            </w:r>
          </w:p>
        </w:tc>
        <w:tc>
          <w:tcPr>
            <w:tcW w:w="630" w:type="dxa"/>
            <w:noWrap w:val="0"/>
            <w:vAlign w:val="center"/>
          </w:tcPr>
          <w:p>
            <w:pPr>
              <w:jc w:val="center"/>
              <w:rPr>
                <w:rFonts w:hint="eastAsia" w:ascii="仿宋_GB2312" w:hAnsi="宋体" w:eastAsia="仿宋_GB2312"/>
                <w:color w:val="000000"/>
                <w:w w:val="90"/>
                <w:sz w:val="30"/>
                <w:szCs w:val="30"/>
                <w:lang w:eastAsia="zh-CN"/>
              </w:rPr>
            </w:pPr>
            <w:r>
              <w:rPr>
                <w:rFonts w:hint="eastAsia" w:ascii="仿宋_GB2312" w:hAnsi="宋体" w:eastAsia="仿宋_GB2312"/>
                <w:color w:val="000000"/>
                <w:w w:val="90"/>
                <w:sz w:val="30"/>
                <w:szCs w:val="30"/>
                <w:highlight w:val="none"/>
                <w:lang w:val="en-US" w:eastAsia="zh-CN"/>
              </w:rPr>
              <w:t>8</w:t>
            </w:r>
          </w:p>
        </w:tc>
        <w:tc>
          <w:tcPr>
            <w:tcW w:w="3780" w:type="dxa"/>
            <w:noWrap w:val="0"/>
            <w:vAlign w:val="center"/>
          </w:tcPr>
          <w:p>
            <w:pPr>
              <w:ind w:left="-2" w:leftChars="-1" w:firstLine="2" w:firstLineChars="1"/>
              <w:jc w:val="left"/>
              <w:rPr>
                <w:rFonts w:hint="eastAsia" w:ascii="仿宋_GB2312" w:hAnsi="宋体" w:eastAsia="仿宋_GB2312"/>
                <w:color w:val="000000"/>
                <w:w w:val="90"/>
                <w:sz w:val="30"/>
                <w:szCs w:val="30"/>
                <w:highlight w:val="none"/>
              </w:rPr>
            </w:pPr>
            <w:r>
              <w:rPr>
                <w:rFonts w:hint="eastAsia" w:ascii="仿宋_GB2312" w:hAnsi="宋体" w:eastAsia="仿宋_GB2312"/>
                <w:color w:val="000000"/>
                <w:w w:val="90"/>
                <w:sz w:val="30"/>
                <w:szCs w:val="30"/>
                <w:highlight w:val="none"/>
              </w:rPr>
              <w:t>指定维保技术人员</w:t>
            </w:r>
            <w:r>
              <w:rPr>
                <w:rFonts w:hint="eastAsia" w:ascii="仿宋_GB2312" w:hAnsi="宋体" w:eastAsia="仿宋_GB2312"/>
                <w:color w:val="000000"/>
                <w:w w:val="90"/>
                <w:sz w:val="30"/>
                <w:szCs w:val="30"/>
                <w:highlight w:val="none"/>
                <w:lang w:val="en-US" w:eastAsia="zh-CN"/>
              </w:rPr>
              <w:t>且持有</w:t>
            </w:r>
            <w:r>
              <w:rPr>
                <w:rFonts w:hint="eastAsia" w:ascii="仿宋_GB2312" w:hAnsi="宋体" w:eastAsia="仿宋_GB2312"/>
                <w:color w:val="000000"/>
                <w:w w:val="90"/>
                <w:sz w:val="30"/>
                <w:szCs w:val="30"/>
                <w:highlight w:val="none"/>
              </w:rPr>
              <w:t>特种设备操作证（电梯）得</w:t>
            </w:r>
            <w:r>
              <w:rPr>
                <w:rFonts w:hint="eastAsia" w:ascii="仿宋_GB2312" w:hAnsi="宋体" w:eastAsia="仿宋_GB2312"/>
                <w:color w:val="000000"/>
                <w:w w:val="90"/>
                <w:sz w:val="30"/>
                <w:szCs w:val="30"/>
                <w:highlight w:val="none"/>
                <w:lang w:val="en-US" w:eastAsia="zh-CN"/>
              </w:rPr>
              <w:t>8</w:t>
            </w:r>
            <w:r>
              <w:rPr>
                <w:rFonts w:hint="eastAsia" w:ascii="仿宋_GB2312" w:hAnsi="宋体" w:eastAsia="仿宋_GB2312"/>
                <w:color w:val="000000"/>
                <w:w w:val="90"/>
                <w:sz w:val="30"/>
                <w:szCs w:val="30"/>
                <w:highlight w:val="none"/>
              </w:rPr>
              <w:t>分，</w:t>
            </w:r>
            <w:r>
              <w:rPr>
                <w:rFonts w:hint="eastAsia" w:ascii="仿宋_GB2312" w:hAnsi="宋体" w:eastAsia="仿宋_GB2312"/>
                <w:color w:val="000000"/>
                <w:w w:val="90"/>
                <w:sz w:val="30"/>
                <w:szCs w:val="30"/>
                <w:highlight w:val="none"/>
                <w:lang w:val="en-US" w:eastAsia="zh-CN"/>
              </w:rPr>
              <w:t>仅提供指定维保技术人员或持有</w:t>
            </w:r>
            <w:r>
              <w:rPr>
                <w:rFonts w:hint="eastAsia" w:ascii="仿宋_GB2312" w:hAnsi="宋体" w:eastAsia="仿宋_GB2312"/>
                <w:color w:val="000000"/>
                <w:w w:val="90"/>
                <w:sz w:val="30"/>
                <w:szCs w:val="30"/>
                <w:highlight w:val="none"/>
              </w:rPr>
              <w:t>特种设备操作证（电梯）</w:t>
            </w:r>
            <w:r>
              <w:rPr>
                <w:rFonts w:hint="eastAsia" w:ascii="仿宋_GB2312" w:hAnsi="宋体" w:eastAsia="仿宋_GB2312"/>
                <w:color w:val="000000"/>
                <w:w w:val="90"/>
                <w:sz w:val="30"/>
                <w:szCs w:val="30"/>
                <w:highlight w:val="none"/>
                <w:lang w:val="en-US" w:eastAsia="zh-CN"/>
              </w:rPr>
              <w:t>中任何一项只得4分，</w:t>
            </w:r>
            <w:r>
              <w:rPr>
                <w:rFonts w:hint="eastAsia" w:ascii="仿宋_GB2312" w:hAnsi="宋体" w:eastAsia="仿宋_GB2312"/>
                <w:color w:val="000000"/>
                <w:w w:val="90"/>
                <w:sz w:val="30"/>
                <w:szCs w:val="30"/>
                <w:highlight w:val="none"/>
              </w:rPr>
              <w:t>未指定维保技术人员或未提供特种设备操作证不得分。</w:t>
            </w:r>
          </w:p>
        </w:tc>
        <w:tc>
          <w:tcPr>
            <w:tcW w:w="1785" w:type="dxa"/>
            <w:noWrap w:val="0"/>
            <w:vAlign w:val="center"/>
          </w:tcPr>
          <w:p>
            <w:pPr>
              <w:ind w:left="-2" w:leftChars="-1" w:firstLine="2" w:firstLineChars="1"/>
              <w:jc w:val="left"/>
              <w:rPr>
                <w:rFonts w:hint="eastAsia" w:ascii="仿宋_GB2312" w:hAnsi="宋体" w:eastAsia="仿宋_GB2312"/>
                <w:color w:val="000000"/>
                <w:w w:val="90"/>
                <w:sz w:val="30"/>
                <w:szCs w:val="30"/>
              </w:rPr>
            </w:pPr>
          </w:p>
          <w:p>
            <w:pPr>
              <w:ind w:left="-2" w:leftChars="-1" w:firstLine="2" w:firstLineChars="1"/>
              <w:jc w:val="left"/>
              <w:rPr>
                <w:rFonts w:hint="eastAsia"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5</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技术力量</w:t>
            </w:r>
          </w:p>
        </w:tc>
        <w:tc>
          <w:tcPr>
            <w:tcW w:w="630" w:type="dxa"/>
            <w:noWrap w:val="0"/>
            <w:vAlign w:val="center"/>
          </w:tcPr>
          <w:p>
            <w:pPr>
              <w:jc w:val="center"/>
              <w:rPr>
                <w:rFonts w:hint="default" w:ascii="仿宋_GB2312" w:hAnsi="宋体" w:eastAsia="仿宋_GB2312"/>
                <w:color w:val="000000"/>
                <w:w w:val="90"/>
                <w:sz w:val="30"/>
                <w:szCs w:val="30"/>
                <w:lang w:val="en-US" w:eastAsia="zh-CN"/>
              </w:rPr>
            </w:pPr>
            <w:r>
              <w:rPr>
                <w:rFonts w:hint="eastAsia" w:ascii="仿宋_GB2312" w:hAnsi="宋体" w:eastAsia="仿宋_GB2312"/>
                <w:color w:val="000000"/>
                <w:w w:val="90"/>
                <w:sz w:val="30"/>
                <w:szCs w:val="30"/>
                <w:highlight w:val="none"/>
                <w:lang w:val="en-US" w:eastAsia="zh-CN"/>
              </w:rPr>
              <w:t>12</w:t>
            </w:r>
          </w:p>
        </w:tc>
        <w:tc>
          <w:tcPr>
            <w:tcW w:w="3780" w:type="dxa"/>
            <w:noWrap w:val="0"/>
            <w:vAlign w:val="center"/>
          </w:tcPr>
          <w:p>
            <w:pPr>
              <w:ind w:left="-2" w:leftChars="-1" w:firstLine="2" w:firstLineChars="1"/>
              <w:jc w:val="left"/>
              <w:rPr>
                <w:rFonts w:ascii="仿宋_GB2312" w:hAnsi="宋体" w:eastAsia="仿宋_GB2312"/>
                <w:color w:val="000000"/>
                <w:w w:val="90"/>
                <w:sz w:val="30"/>
                <w:szCs w:val="30"/>
                <w:highlight w:val="none"/>
              </w:rPr>
            </w:pPr>
            <w:r>
              <w:rPr>
                <w:rFonts w:hint="eastAsia" w:ascii="仿宋_GB2312" w:hAnsi="宋体" w:eastAsia="仿宋_GB2312"/>
                <w:color w:val="000000"/>
                <w:w w:val="90"/>
                <w:sz w:val="30"/>
                <w:szCs w:val="30"/>
                <w:highlight w:val="none"/>
              </w:rPr>
              <w:t>公司技术人员（购买社保并持有相关资格证书）与电梯维保总数量比例均衡，得</w:t>
            </w:r>
            <w:r>
              <w:rPr>
                <w:rFonts w:hint="eastAsia" w:ascii="仿宋_GB2312" w:hAnsi="宋体" w:eastAsia="仿宋_GB2312"/>
                <w:color w:val="000000"/>
                <w:w w:val="90"/>
                <w:sz w:val="30"/>
                <w:szCs w:val="30"/>
                <w:highlight w:val="none"/>
                <w:lang w:val="en-US" w:eastAsia="zh-CN"/>
              </w:rPr>
              <w:t>8-12</w:t>
            </w:r>
            <w:r>
              <w:rPr>
                <w:rFonts w:hint="eastAsia" w:ascii="仿宋_GB2312" w:hAnsi="宋体" w:eastAsia="仿宋_GB2312"/>
                <w:color w:val="000000"/>
                <w:w w:val="90"/>
                <w:sz w:val="30"/>
                <w:szCs w:val="30"/>
                <w:highlight w:val="none"/>
              </w:rPr>
              <w:t>分，公司技术人员和电梯维保总数量比例一般得1-</w:t>
            </w:r>
            <w:r>
              <w:rPr>
                <w:rFonts w:hint="eastAsia" w:ascii="仿宋_GB2312" w:hAnsi="宋体" w:eastAsia="仿宋_GB2312"/>
                <w:color w:val="000000"/>
                <w:w w:val="90"/>
                <w:sz w:val="30"/>
                <w:szCs w:val="30"/>
                <w:highlight w:val="none"/>
                <w:lang w:val="en-US" w:eastAsia="zh-CN"/>
              </w:rPr>
              <w:t>7分</w:t>
            </w:r>
            <w:r>
              <w:rPr>
                <w:rFonts w:hint="eastAsia" w:ascii="仿宋_GB2312" w:hAnsi="宋体" w:eastAsia="仿宋_GB2312"/>
                <w:color w:val="000000"/>
                <w:w w:val="90"/>
                <w:sz w:val="30"/>
                <w:szCs w:val="30"/>
                <w:highlight w:val="none"/>
              </w:rPr>
              <w:t>，未提供不得分。</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907" w:type="dxa"/>
            <w:noWrap w:val="0"/>
            <w:vAlign w:val="center"/>
          </w:tcPr>
          <w:p>
            <w:pPr>
              <w:jc w:val="center"/>
              <w:rPr>
                <w:rFonts w:hint="eastAsia" w:ascii="仿宋_GB2312" w:hAnsi="宋体" w:eastAsia="仿宋_GB2312"/>
                <w:color w:val="000000"/>
                <w:w w:val="90"/>
                <w:sz w:val="30"/>
                <w:szCs w:val="30"/>
              </w:rPr>
            </w:pPr>
            <w:r>
              <w:rPr>
                <w:rFonts w:hint="eastAsia" w:ascii="仿宋_GB2312" w:hAnsi="宋体" w:eastAsia="仿宋_GB2312"/>
                <w:color w:val="000000"/>
                <w:w w:val="90"/>
                <w:sz w:val="30"/>
                <w:szCs w:val="30"/>
              </w:rPr>
              <w:t>6</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行业会员单位</w:t>
            </w:r>
          </w:p>
        </w:tc>
        <w:tc>
          <w:tcPr>
            <w:tcW w:w="630"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5</w:t>
            </w:r>
          </w:p>
        </w:tc>
        <w:tc>
          <w:tcPr>
            <w:tcW w:w="3780" w:type="dxa"/>
            <w:noWrap w:val="0"/>
            <w:vAlign w:val="center"/>
          </w:tcPr>
          <w:p>
            <w:pPr>
              <w:ind w:left="-2" w:leftChars="-1" w:firstLine="2" w:firstLineChars="1"/>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芜湖电梯行业协会会员单位，并遵守电梯行业自律公约得5分，未提供电梯行业会员单位证明不得分</w:t>
            </w:r>
            <w:r>
              <w:rPr>
                <w:rFonts w:hint="eastAsia" w:eastAsia="仿宋_GB2312"/>
                <w:kern w:val="0"/>
                <w:sz w:val="30"/>
                <w:szCs w:val="30"/>
              </w:rPr>
              <w:t>。</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07" w:type="dxa"/>
            <w:noWrap w:val="0"/>
            <w:vAlign w:val="center"/>
          </w:tcPr>
          <w:p>
            <w:pPr>
              <w:jc w:val="center"/>
              <w:rPr>
                <w:rFonts w:hint="eastAsia" w:ascii="仿宋_GB2312" w:hAnsi="宋体" w:eastAsia="仿宋_GB2312"/>
                <w:color w:val="000000"/>
                <w:w w:val="90"/>
                <w:sz w:val="30"/>
                <w:szCs w:val="30"/>
              </w:rPr>
            </w:pPr>
            <w:r>
              <w:rPr>
                <w:rFonts w:hint="eastAsia" w:ascii="仿宋_GB2312" w:hAnsi="宋体" w:eastAsia="仿宋_GB2312"/>
                <w:color w:val="000000"/>
                <w:w w:val="90"/>
                <w:sz w:val="30"/>
                <w:szCs w:val="30"/>
              </w:rPr>
              <w:t>7</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投标报价</w:t>
            </w:r>
          </w:p>
        </w:tc>
        <w:tc>
          <w:tcPr>
            <w:tcW w:w="630" w:type="dxa"/>
            <w:noWrap w:val="0"/>
            <w:vAlign w:val="center"/>
          </w:tcPr>
          <w:p>
            <w:pPr>
              <w:jc w:val="center"/>
              <w:rPr>
                <w:rFonts w:hint="eastAsia" w:ascii="仿宋_GB2312" w:hAnsi="宋体" w:eastAsia="仿宋_GB2312"/>
                <w:color w:val="000000"/>
                <w:w w:val="90"/>
                <w:sz w:val="30"/>
                <w:szCs w:val="30"/>
              </w:rPr>
            </w:pPr>
            <w:r>
              <w:rPr>
                <w:rFonts w:hint="eastAsia" w:ascii="仿宋_GB2312" w:hAnsi="宋体" w:eastAsia="仿宋_GB2312"/>
                <w:color w:val="000000"/>
                <w:w w:val="90"/>
                <w:sz w:val="30"/>
                <w:szCs w:val="30"/>
                <w:lang w:val="en-US" w:eastAsia="zh-CN"/>
              </w:rPr>
              <w:t>4</w:t>
            </w:r>
            <w:r>
              <w:rPr>
                <w:rFonts w:hint="eastAsia" w:ascii="仿宋_GB2312" w:hAnsi="宋体" w:eastAsia="仿宋_GB2312"/>
                <w:color w:val="000000"/>
                <w:w w:val="90"/>
                <w:sz w:val="30"/>
                <w:szCs w:val="30"/>
              </w:rPr>
              <w:t>5</w:t>
            </w:r>
          </w:p>
        </w:tc>
        <w:tc>
          <w:tcPr>
            <w:tcW w:w="3780" w:type="dxa"/>
            <w:noWrap w:val="0"/>
            <w:vAlign w:val="center"/>
          </w:tcPr>
          <w:p>
            <w:pPr>
              <w:widowControl/>
              <w:jc w:val="left"/>
              <w:textAlignment w:val="center"/>
              <w:rPr>
                <w:rFonts w:hint="eastAsia" w:ascii="仿宋_GB2312" w:hAnsi="宋体" w:eastAsia="仿宋_GB2312"/>
                <w:color w:val="000000"/>
                <w:w w:val="90"/>
                <w:sz w:val="30"/>
                <w:szCs w:val="30"/>
              </w:rPr>
            </w:pPr>
            <w:r>
              <w:rPr>
                <w:rFonts w:hint="eastAsia" w:ascii="仿宋_GB2312" w:hAnsi="宋体" w:eastAsia="仿宋_GB2312" w:cs="Times New Roman"/>
                <w:color w:val="000000"/>
                <w:w w:val="90"/>
                <w:sz w:val="30"/>
                <w:szCs w:val="30"/>
              </w:rPr>
              <w:t>满足招标文件要求且投标报价最低价为评标基准价，得分计算公式：投标报价得分=评标基准价/投标报价×</w:t>
            </w:r>
            <w:r>
              <w:rPr>
                <w:rFonts w:hint="eastAsia" w:ascii="仿宋_GB2312" w:hAnsi="宋体" w:eastAsia="仿宋_GB2312" w:cs="Times New Roman"/>
                <w:color w:val="000000"/>
                <w:w w:val="90"/>
                <w:sz w:val="30"/>
                <w:szCs w:val="30"/>
                <w:lang w:val="en-US" w:eastAsia="zh-CN"/>
              </w:rPr>
              <w:t>4</w:t>
            </w:r>
            <w:r>
              <w:rPr>
                <w:rFonts w:hint="eastAsia" w:ascii="仿宋_GB2312" w:hAnsi="宋体" w:eastAsia="仿宋_GB2312" w:cs="Times New Roman"/>
                <w:color w:val="000000"/>
                <w:w w:val="90"/>
                <w:sz w:val="30"/>
                <w:szCs w:val="30"/>
              </w:rPr>
              <w:t>5</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9" w:hRule="atLeast"/>
        </w:trPr>
        <w:tc>
          <w:tcPr>
            <w:tcW w:w="7770" w:type="dxa"/>
            <w:gridSpan w:val="4"/>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综合得分</w:t>
            </w:r>
          </w:p>
        </w:tc>
        <w:tc>
          <w:tcPr>
            <w:tcW w:w="1785" w:type="dxa"/>
            <w:noWrap w:val="0"/>
            <w:vAlign w:val="center"/>
          </w:tcPr>
          <w:p>
            <w:pPr>
              <w:jc w:val="center"/>
              <w:rPr>
                <w:rFonts w:ascii="仿宋_GB2312" w:hAnsi="宋体" w:eastAsia="仿宋_GB2312"/>
                <w:color w:val="000000"/>
                <w:w w:val="90"/>
                <w:sz w:val="30"/>
                <w:szCs w:val="3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9ECC2"/>
    <w:multiLevelType w:val="singleLevel"/>
    <w:tmpl w:val="6909EC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114D6"/>
    <w:rsid w:val="2891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2024-10-28T01:19:00Z</dcterms:created>
  <dc:creator>舒婷</dc:creator>
  <cp:lastModifiedBy>舒婷</cp:lastModifiedBy>
  <dcterms:modified xsi:type="dcterms:W3CDTF">2024-10-28T01:20:22Z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