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评审内容及评分标准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1、资格性评审内容及标准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评标小组对投标单位资格性进行审查，结论分为“合格”与“不合格”。评审不合格的投标文件不再进行后续评审。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有下列情形之一的，应做无效投标处理：</w:t>
      </w:r>
    </w:p>
    <w:tbl>
      <w:tblPr>
        <w:tblStyle w:val="2"/>
        <w:tblW w:w="9225" w:type="dxa"/>
        <w:jc w:val="center"/>
        <w:tblBorders>
          <w:top w:val="outset" w:color="auto" w:sz="12" w:space="0"/>
          <w:left w:val="outset" w:color="auto" w:sz="12" w:space="0"/>
          <w:bottom w:val="outset" w:color="auto" w:sz="12" w:space="0"/>
          <w:right w:val="outset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3360"/>
        <w:gridCol w:w="4725"/>
      </w:tblGrid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500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评审内容</w:t>
            </w:r>
          </w:p>
        </w:tc>
        <w:tc>
          <w:tcPr>
            <w:tcW w:w="4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审查标准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  <w:jc w:val="center"/>
        </w:trPr>
        <w:tc>
          <w:tcPr>
            <w:tcW w:w="1140" w:type="dxa"/>
            <w:vMerge w:val="restart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资格性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审查</w:t>
            </w:r>
          </w:p>
        </w:tc>
        <w:tc>
          <w:tcPr>
            <w:tcW w:w="3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律师事务所执业许可证</w:t>
            </w:r>
          </w:p>
        </w:tc>
        <w:tc>
          <w:tcPr>
            <w:tcW w:w="4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 xml:space="preserve">    未提供合法有效执业许可证或资质不符合招标文件要求的</w:t>
            </w:r>
          </w:p>
        </w:tc>
      </w:tr>
      <w:tr>
        <w:tblPrEx>
          <w:tblBorders>
            <w:top w:val="outset" w:color="auto" w:sz="12" w:space="0"/>
            <w:left w:val="outset" w:color="auto" w:sz="12" w:space="0"/>
            <w:bottom w:val="outset" w:color="auto" w:sz="12" w:space="0"/>
            <w:right w:val="outset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1140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540" w:firstLineChars="200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</w:pPr>
          </w:p>
        </w:tc>
        <w:tc>
          <w:tcPr>
            <w:tcW w:w="33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1201" w:firstLineChars="445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征信查询</w:t>
            </w:r>
          </w:p>
        </w:tc>
        <w:tc>
          <w:tcPr>
            <w:tcW w:w="4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30"/>
                <w:szCs w:val="30"/>
              </w:rPr>
              <w:t>信用查询有不良记录</w:t>
            </w:r>
          </w:p>
        </w:tc>
      </w:tr>
    </w:tbl>
    <w:p>
      <w:pPr>
        <w:ind w:firstLine="540" w:firstLineChars="200"/>
        <w:rPr>
          <w:rFonts w:ascii="仿宋_GB2312" w:hAnsi="宋体" w:eastAsia="仿宋_GB2312"/>
          <w:w w:val="90"/>
          <w:sz w:val="30"/>
          <w:szCs w:val="30"/>
        </w:rPr>
      </w:pPr>
    </w:p>
    <w:p>
      <w:pPr>
        <w:ind w:firstLine="542" w:firstLineChars="200"/>
        <w:rPr>
          <w:rFonts w:ascii="仿宋_GB2312" w:hAnsi="宋体" w:eastAsia="仿宋_GB2312"/>
          <w:b/>
          <w:bCs/>
          <w:w w:val="90"/>
          <w:sz w:val="30"/>
          <w:szCs w:val="30"/>
        </w:rPr>
      </w:pPr>
      <w:r>
        <w:rPr>
          <w:rFonts w:ascii="仿宋_GB2312" w:hAnsi="宋体" w:eastAsia="仿宋_GB2312"/>
          <w:b/>
          <w:bCs/>
          <w:w w:val="90"/>
          <w:sz w:val="30"/>
          <w:szCs w:val="30"/>
        </w:rPr>
        <w:t>2</w:t>
      </w:r>
      <w:r>
        <w:rPr>
          <w:rFonts w:hint="eastAsia" w:ascii="仿宋_GB2312" w:hAnsi="宋体" w:eastAsia="仿宋_GB2312"/>
          <w:b/>
          <w:bCs/>
          <w:w w:val="90"/>
          <w:sz w:val="30"/>
          <w:szCs w:val="30"/>
        </w:rPr>
        <w:t>、项目方案评审内容及标准</w:t>
      </w:r>
    </w:p>
    <w:tbl>
      <w:tblPr>
        <w:tblStyle w:val="2"/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1377"/>
        <w:gridCol w:w="828"/>
        <w:gridCol w:w="5262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序号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5" w:firstLineChars="38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内容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分值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评分标准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06" w:firstLineChars="82"/>
              <w:jc w:val="left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1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-53" w:hanging="110" w:hangingChars="44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服务团队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-53" w:hanging="110" w:hangingChars="44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综合实力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6" w:firstLineChars="50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1.顾问团队配置（5分）：选派的顾问团队成员人数2人，得3分； 2人以上，每增加一人得1分，最多加2分。本小项满分5分。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注：提供团队成员执业证书复印件并加盖投标人公章和社保证明，未提供不得分。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2.选派的法律顾问人员（律师）能力水平：（满分20分）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教育背景（10分）：选派的顾问团队均为法律相关专业本科学历得 6分，有1人为法律相关专业硕士及以上学历的加2分；非法律专业仅得4分。（提供证书复印件并加盖投标人公章，原件备查）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职业年限及从业经验（10分）：执业年限8年及以上得5分，4（含）-8（不含）年得4分，4年以下得3分（以执业证为准）。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近3年内有担任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同类（政府、事业单位、国有企业）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常年法律顾问的业绩，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提供业绩合同2份得3分，每增加1份合同加1分，最多得5分，提供服务合同复印件加盖投标人公章。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" w:firstLineChars="200"/>
              <w:jc w:val="center"/>
              <w:textAlignment w:val="auto"/>
              <w:rPr>
                <w:rFonts w:ascii="仿宋" w:hAnsi="仿宋" w:eastAsia="仿宋" w:cs="仿宋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服务方案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20分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提供定制化服务方案，根据内容的全面性、可操作性、服务便捷性、日常业务响应时间等方面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对比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评分。优秀15-20分，较好9-14分，一般0-8分。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" w:firstLineChars="200"/>
              <w:jc w:val="center"/>
              <w:textAlignment w:val="auto"/>
              <w:rPr>
                <w:rFonts w:ascii="仿宋" w:hAnsi="仿宋" w:eastAsia="仿宋" w:cs="仿宋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律师事务所整体情况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10分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提供律师事务所整体情况介绍材料，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根据律师事务所整体情况 (成立时间、规模)、人员组成情况、经营情况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等方面对比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评分。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优秀8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0分，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较好5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-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分，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一般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0-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分。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" w:firstLineChars="200"/>
              <w:jc w:val="center"/>
              <w:textAlignment w:val="auto"/>
              <w:rPr>
                <w:rFonts w:ascii="仿宋" w:hAnsi="仿宋" w:eastAsia="仿宋" w:cs="仿宋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法律顾问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投标报价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含税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30分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  <w:highlight w:val="none"/>
                <w:lang w:val="en-US" w:eastAsia="zh-CN"/>
              </w:rPr>
              <w:t>满足招标文件要求且投标报价最低价为评标基准价，得分计算公式：投标报价得分=评标基准价/投标报价×30</w:t>
            </w: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（保留小数点后两位，第三位四舍五入）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" w:firstLineChars="200"/>
              <w:jc w:val="center"/>
              <w:textAlignment w:val="auto"/>
              <w:rPr>
                <w:rFonts w:ascii="仿宋" w:hAnsi="仿宋" w:eastAsia="仿宋" w:cs="仿宋"/>
                <w:w w:val="9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" w:firstLineChars="200"/>
              <w:jc w:val="center"/>
              <w:textAlignment w:val="auto"/>
              <w:rPr>
                <w:rFonts w:ascii="仿宋" w:hAnsi="仿宋" w:eastAsia="仿宋" w:cs="仿宋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代理诉讼报价</w:t>
            </w:r>
          </w:p>
        </w:tc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  <w:lang w:val="en-US" w:eastAsia="zh-CN"/>
              </w:rPr>
              <w:t>15分</w:t>
            </w:r>
          </w:p>
        </w:tc>
        <w:tc>
          <w:tcPr>
            <w:tcW w:w="52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sz w:val="28"/>
                <w:szCs w:val="28"/>
                <w:highlight w:val="none"/>
                <w:lang w:val="en-US" w:eastAsia="zh-CN"/>
              </w:rPr>
              <w:t>代理诉讼、仲裁案件，采取按件收费，没有诉讼标的和诉讼标的不超过10万的，收费不高于5000元/件，有诉讼标的的，每件按照《安徽省律师服务收费标准》规定的最低标准的70%收取，执行、二审代理费不得超过一审费用50%，否则该项不得分。对比投标人该项报价，按排序分档赋分。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" w:firstLineChars="200"/>
              <w:jc w:val="center"/>
              <w:textAlignment w:val="auto"/>
              <w:rPr>
                <w:rFonts w:ascii="仿宋" w:hAnsi="仿宋" w:eastAsia="仿宋" w:cs="仿宋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851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8"/>
                <w:szCs w:val="28"/>
              </w:rPr>
              <w:t>综合得分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" w:firstLineChars="200"/>
              <w:jc w:val="center"/>
              <w:textAlignment w:val="auto"/>
              <w:rPr>
                <w:rFonts w:ascii="仿宋" w:hAnsi="仿宋" w:eastAsia="仿宋" w:cs="仿宋"/>
                <w:w w:val="9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C5A7F"/>
    <w:rsid w:val="6CCC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2025-03-19T08:46:00Z</dcterms:created>
  <dc:creator>舒婷</dc:creator>
  <cp:lastModifiedBy>舒婷</cp:lastModifiedBy>
  <dcterms:modified xsi:type="dcterms:W3CDTF">2025-03-19T08:46:51Z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